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b/>
        </w:rPr>
        <w:t>MODELO DE EMBARGOS DE DECLARAÇÃO</w:t>
        <w:br/>
      </w:r>
      <w:r>
        <w:rPr>
          <w:sz w:val="26"/>
        </w:rPr>
        <w:t>Processo civil - CPC</w:t>
      </w:r>
    </w:p>
    <w:p>
      <w:pPr>
        <w:pStyle w:val="NotaEditorial"/>
        <w:jc w:val="center"/>
      </w:pPr>
      <w:r>
        <w:t>VERSÃO 1.0 | REVISÃO: 11/08/2026 | BRASIL | RISCO ALTO</w:t>
      </w:r>
    </w:p>
    <w:p>
      <w:pPr>
        <w:jc w:val="center"/>
      </w:pPr>
      <w:r>
        <w:rPr>
          <w:b/>
          <w:sz w:val="22"/>
        </w:rPr>
        <w:t>INSTRUÇÕES DE USO - REMOVER ANTES DO PROTOCOLO</w:t>
      </w:r>
    </w:p>
    <w:p>
      <w:pPr>
        <w:pStyle w:val="NotaEditorial"/>
      </w:pPr>
      <w:r>
        <w:t>Este arquivo é um modelo geral e editável para embargos de declaração regidos pelo Código de Processo Civil. Não é automaticamente adequado a um processo concreto e não deve ser apresentado como “pronto para protocolar” sem conferência do processo, da decisão embargada, da intimação, do tribunal e das regras locais.</w:t>
      </w:r>
    </w:p>
    <w:p>
      <w:pPr>
        <w:pStyle w:val="Heading1"/>
      </w:pPr>
      <w:r>
        <w:t>1. Enquadramento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Família</w:t>
            </w:r>
          </w:p>
        </w:tc>
        <w:tc>
          <w:tcPr>
            <w:tcW w:type="dxa" w:w="4703"/>
            <w:vAlign w:val="top"/>
          </w:tcPr>
          <w:p>
            <w:r>
              <w:t>A) Peça processual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Finalidade</w:t>
            </w:r>
          </w:p>
        </w:tc>
        <w:tc>
          <w:tcPr>
            <w:tcW w:type="dxa" w:w="4703"/>
            <w:vAlign w:val="top"/>
          </w:tcPr>
          <w:p>
            <w:r>
              <w:t>Pedir ao próprio órgão prolator que sane obscuridade, contradição, omissão ou erro material.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Jurisdição-base</w:t>
            </w:r>
          </w:p>
        </w:tc>
        <w:tc>
          <w:tcPr>
            <w:tcW w:type="dxa" w:w="4703"/>
            <w:vAlign w:val="top"/>
          </w:tcPr>
          <w:p>
            <w:r>
              <w:t>Brasil - processo civil regido pelo CPC.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Área</w:t>
            </w:r>
          </w:p>
        </w:tc>
        <w:tc>
          <w:tcPr>
            <w:tcW w:type="dxa" w:w="4703"/>
            <w:vAlign w:val="top"/>
          </w:tcPr>
          <w:p>
            <w:r>
              <w:t>Direito processual civil.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Risco</w:t>
            </w:r>
          </w:p>
        </w:tc>
        <w:tc>
          <w:tcPr>
            <w:tcW w:type="dxa" w:w="4703"/>
            <w:vAlign w:val="top"/>
          </w:tcPr>
          <w:p>
            <w:r>
              <w:t>Alto - exige adaptação e revisão jurídica.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Data de corte</w:t>
            </w:r>
          </w:p>
        </w:tc>
        <w:tc>
          <w:tcPr>
            <w:tcW w:type="dxa" w:w="4703"/>
            <w:vAlign w:val="top"/>
          </w:tcPr>
          <w:p>
            <w:r>
              <w:t>11/08/2026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rPr>
                <w:b/>
              </w:rPr>
              <w:t>Revisão sugerida</w:t>
            </w:r>
          </w:p>
        </w:tc>
        <w:tc>
          <w:tcPr>
            <w:tcW w:type="dxa" w:w="4703"/>
            <w:vAlign w:val="top"/>
          </w:tcPr>
          <w:p>
            <w:r>
              <w:t>Até 10/10/2026, ou antes se houver alteração legislativa, precedente qualificado ou regra local relevante.</w:t>
            </w:r>
          </w:p>
        </w:tc>
      </w:tr>
    </w:tbl>
    <w:p>
      <w:pPr>
        <w:pStyle w:val="Heading1"/>
      </w:pPr>
      <w:r>
        <w:t>2. Quando usar</w:t>
      </w:r>
    </w:p>
    <w:p>
      <w:pPr>
        <w:pStyle w:val="ListBullet"/>
      </w:pPr>
      <w:r>
        <w:t>Quando uma decisão judicial contiver obscuridade, contradição, omissão ou erro material, nos termos do art. 1.022 do CPC.</w:t>
      </w:r>
    </w:p>
    <w:p>
      <w:pPr>
        <w:pStyle w:val="ListBullet"/>
      </w:pPr>
      <w:r>
        <w:t>Quando for necessário obter pronunciamento expresso sobre ponto que o órgão julgador deveria enfrentar.</w:t>
      </w:r>
    </w:p>
    <w:p>
      <w:pPr>
        <w:pStyle w:val="ListBullet"/>
      </w:pPr>
      <w:r>
        <w:t>Quando a correção do vício puder, como consequência necessária, modificar o resultado - hipótese em que o pedido de efeitos modificativos deve ser justificado de modo específico.</w:t>
      </w:r>
    </w:p>
    <w:p>
      <w:pPr>
        <w:pStyle w:val="ListBullet"/>
      </w:pPr>
      <w:r>
        <w:t>Quando houver finalidade legítima de prequestionamento, desde que exista questão efetivamente pertinente ao caso e ao vício apontado.</w:t>
      </w:r>
    </w:p>
    <w:p>
      <w:pPr>
        <w:pStyle w:val="Heading1"/>
      </w:pPr>
      <w:r>
        <w:t>3. Quando não usar sem adaptação específica</w:t>
      </w:r>
    </w:p>
    <w:p>
      <w:pPr>
        <w:pStyle w:val="ListBullet"/>
      </w:pPr>
      <w:r>
        <w:t>Para mera rediscussão do mérito, sem identificar vício do art. 1.022 do CPC.</w:t>
      </w:r>
    </w:p>
    <w:p>
      <w:pPr>
        <w:pStyle w:val="ListBullet"/>
      </w:pPr>
      <w:r>
        <w:t>Em processos trabalhistas, penais, eleitorais ou outros ramos com regime recursal próprio, sem conferir a legislação específica.</w:t>
      </w:r>
    </w:p>
    <w:p>
      <w:pPr>
        <w:pStyle w:val="ListBullet"/>
      </w:pPr>
      <w:r>
        <w:t>Em Juizados Especiais ou procedimentos especiais sem revisar as regras próprias do microssistema e do tribunal.</w:t>
      </w:r>
    </w:p>
    <w:p>
      <w:pPr>
        <w:pStyle w:val="ListBullet"/>
      </w:pPr>
      <w:r>
        <w:t>Quando não se conhece a decisão embargada, a forma/data da intimação ou o marco temporal necessário para verificar a tempestividade.</w:t>
      </w:r>
    </w:p>
    <w:p>
      <w:pPr>
        <w:pStyle w:val="ListBullet"/>
      </w:pPr>
      <w:r>
        <w:t>Como substituto automático do recurso cabível contra erro de julgamento que não decorra da correção de obscuridade, contradição, omissão ou erro material.</w:t>
      </w:r>
    </w:p>
    <w:p>
      <w:pPr>
        <w:pStyle w:val="Heading1"/>
      </w:pPr>
      <w:r>
        <w:t>4. Regras confirmadas que orientaram a redação</w:t>
      </w:r>
    </w:p>
    <w:p>
      <w:r>
        <w:rPr>
          <w:b/>
        </w:rPr>
        <w:t xml:space="preserve">Cabimento: </w:t>
      </w:r>
      <w:r>
        <w:t>Art. 1.022 do CPC: obscuridade, contradição, omissão e erro material; a omissão também abrange hipóteses relacionadas ao art. 489, § 1º.</w:t>
      </w:r>
    </w:p>
    <w:p>
      <w:r>
        <w:rPr>
          <w:b/>
        </w:rPr>
        <w:t xml:space="preserve">Prazo e preparo: </w:t>
      </w:r>
      <w:r>
        <w:t>Art. 1.023 do CPC: 5 dias e ausência de preparo. Em prazos processuais contados em dias, o art. 219 do CPC determina a contagem em dias úteis.</w:t>
      </w:r>
    </w:p>
    <w:p>
      <w:r>
        <w:rPr>
          <w:b/>
        </w:rPr>
        <w:t xml:space="preserve">Contraditório: </w:t>
      </w:r>
      <w:r>
        <w:t>Art. 1.023, § 2º: se o eventual acolhimento puder modificar a decisão, o embargado deve ser intimado para se manifestar.</w:t>
      </w:r>
    </w:p>
    <w:p>
      <w:r>
        <w:rPr>
          <w:b/>
        </w:rPr>
        <w:t xml:space="preserve">Prequestionamento: </w:t>
      </w:r>
      <w:r>
        <w:t>Art. 1.025 do CPC: disciplina a inclusão, para fins de prequestionamento, dos elementos suscitados pelo embargante nas condições legais.</w:t>
      </w:r>
    </w:p>
    <w:p>
      <w:r>
        <w:rPr>
          <w:b/>
        </w:rPr>
        <w:t xml:space="preserve">Efeitos: </w:t>
      </w:r>
      <w:r>
        <w:t>Art. 1.026 do CPC: os embargos não têm efeito suspensivo e interrompem o prazo para interposição de recurso; há possibilidade excepcional de suspensão da eficácia e previsão de multa para embargos manifestamente protelatórios.</w:t>
      </w:r>
    </w:p>
    <w:p>
      <w:r>
        <w:rPr>
          <w:b/>
        </w:rPr>
        <w:t xml:space="preserve">Efeitos modificativos: </w:t>
      </w:r>
      <w:r>
        <w:t>STJ: admitidos excepcionalmente quando a correção do vício ou de premissa equivocada torna necessária a alteração do resultado.</w:t>
      </w:r>
    </w:p>
    <w:p>
      <w:r>
        <w:rPr>
          <w:b/>
        </w:rPr>
        <w:t xml:space="preserve">Prequestionamento sem intuito protelatório: </w:t>
      </w:r>
      <w:r>
        <w:t>Súmula 98/STJ: embargos opostos com notório propósito de prequestionamento não têm caráter protelatório.</w:t>
      </w:r>
    </w:p>
    <w:p>
      <w:pPr>
        <w:pStyle w:val="Heading1"/>
      </w:pPr>
      <w:r>
        <w:t>5. Checklist antes de preencher</w:t>
      </w:r>
    </w:p>
    <w:p>
      <w:pPr>
        <w:pStyle w:val="ListBullet"/>
      </w:pPr>
      <w:r>
        <w:t>Confirmar o tribunal, órgão julgador, classe do processo e número do processo.</w:t>
      </w:r>
    </w:p>
    <w:p>
      <w:pPr>
        <w:pStyle w:val="ListBullet"/>
      </w:pPr>
      <w:r>
        <w:t>Identificar a decisão embargada e o trecho exato que contém o vício.</w:t>
      </w:r>
    </w:p>
    <w:p>
      <w:pPr>
        <w:pStyle w:val="ListBullet"/>
      </w:pPr>
      <w:r>
        <w:t>Apontar um ou mais vícios concretos: omissão, contradição, obscuridade ou erro material.</w:t>
      </w:r>
    </w:p>
    <w:p>
      <w:pPr>
        <w:pStyle w:val="ListBullet"/>
      </w:pPr>
      <w:r>
        <w:t>Conferir a data e a forma da intimação e calcular o prazo conforme o caso concreto e o calendário forense aplicável.</w:t>
      </w:r>
    </w:p>
    <w:p>
      <w:pPr>
        <w:pStyle w:val="ListBullet"/>
      </w:pPr>
      <w:r>
        <w:t>Excluir os blocos condicionais que não se aplicarem: efeitos modificativos, prequestionamento e pedido de suspensão de eficácia.</w:t>
      </w:r>
    </w:p>
    <w:p>
      <w:pPr>
        <w:pStyle w:val="ListBullet"/>
      </w:pPr>
      <w:r>
        <w:t>Conferir eventual regra do tribunal sobre peticionamento eletrônico, classe/tipo de petição e formatação.</w:t>
      </w:r>
    </w:p>
    <w:p>
      <w:pPr>
        <w:pStyle w:val="ListBullet"/>
      </w:pPr>
      <w:r>
        <w:t>Realizar revisão jurídica humana antes do protocolo.</w:t>
      </w:r>
    </w:p>
    <w:p>
      <w:pPr>
        <w:pStyle w:val="Heading1"/>
      </w:pPr>
      <w:r>
        <w:t>6. Fontes oficiais verificadas</w:t>
      </w:r>
    </w:p>
    <w:p>
      <w:r>
        <w:t xml:space="preserve">Código de Processo Civil - Lei nº 13.105/2015 (Planalto), especialmente arts. 219, 489, § 1º, e 1.022 a 1.026. </w:t>
      </w:r>
      <w:hyperlink r:id="rId9">
        <w:r>
          <w:rPr>
            <w:color w:val="0563C1"/>
            <w:u w:val="single"/>
          </w:rPr>
          <w:t>Abrir fonte oficial</w:t>
        </w:r>
      </w:hyperlink>
      <w:r>
        <w:t xml:space="preserve"> Acesso em 11/08/2026.</w:t>
      </w:r>
    </w:p>
    <w:p>
      <w:r>
        <w:t xml:space="preserve">Superior Tribunal de Justiça - Súmula 98. </w:t>
      </w:r>
      <w:hyperlink r:id="rId10">
        <w:r>
          <w:rPr>
            <w:color w:val="0563C1"/>
            <w:u w:val="single"/>
          </w:rPr>
          <w:t>Abrir fonte oficial</w:t>
        </w:r>
      </w:hyperlink>
      <w:r>
        <w:t xml:space="preserve"> Acesso em 11/08/2026.</w:t>
      </w:r>
    </w:p>
    <w:p>
      <w:r>
        <w:t xml:space="preserve">Superior Tribunal de Justiça - Pesquisa Pronta sobre efeitos infringentes, com referência ao AgInt no AREsp 2.175.102, Terceira Turma, julgado em 20/03/2023, DJe 22/03/2023. </w:t>
      </w:r>
      <w:hyperlink r:id="rId11">
        <w:r>
          <w:rPr>
            <w:color w:val="0563C1"/>
            <w:u w:val="single"/>
          </w:rPr>
          <w:t>Abrir fonte oficial</w:t>
        </w:r>
      </w:hyperlink>
      <w:r>
        <w:t xml:space="preserve"> Acesso em 11/08/2026.</w:t>
      </w:r>
    </w:p>
    <w:p>
      <w:r/>
    </w:p>
    <w:p>
      <w:pPr>
        <w:jc w:val="center"/>
      </w:pPr>
      <w:r>
        <w:rPr>
          <w:b/>
          <w:sz w:val="22"/>
        </w:rPr>
        <w:t>TEXTO DO MODELO - MANTER APÓS A ADAPTAÇÃO</w:t>
      </w:r>
    </w:p>
    <w:p>
      <w:pPr>
        <w:pStyle w:val="NotaEditorial"/>
        <w:jc w:val="center"/>
      </w:pPr>
      <w:r>
        <w:t>Substitua todos os campos {{ASSIM}} e exclua os blocos marcados como condicionais.</w:t>
      </w:r>
    </w:p>
    <w:p/>
    <w:p>
      <w:pPr>
        <w:jc w:val="center"/>
      </w:pPr>
      <w:r>
        <w:rPr>
          <w:b/>
        </w:rPr>
        <w:t>EXCELENTÍSSIMO(A) SENHOR(A) {{CARGO_DO_JULGADOR}} DO(A) {{ORGAO_JULGADOR}} DO {{TRIBUNAL}}</w:t>
      </w:r>
    </w:p>
    <w:p/>
    <w:p>
      <w:r>
        <w:rPr>
          <w:b/>
        </w:rPr>
        <w:t xml:space="preserve">Processo nº: </w:t>
      </w:r>
      <w:r>
        <w:t>{{NUMERO_PROCESSO}}</w:t>
      </w:r>
    </w:p>
    <w:p>
      <w:r>
        <w:rPr>
          <w:b/>
        </w:rPr>
        <w:t>{{PARTE_EMBARGANTE}}</w:t>
      </w:r>
      <w:r>
        <w:t>, já qualificada nos autos em epígrafe, na condição de {{POSICAO_PROCESSUAL}}, por seu advogado {{ADVOGADO}}, inscrito(a) na OAB/{{UF_OAB}} sob nº {{NUMERO_OAB}}, vem, respeitosamente, à presença de Vossa Excelência, com fundamento nos arts. 1.022 e seguintes do Código de Processo Civil, opor</w:t>
      </w:r>
    </w:p>
    <w:p>
      <w:pPr>
        <w:jc w:val="center"/>
      </w:pPr>
      <w:r>
        <w:rPr>
          <w:b/>
          <w:sz w:val="26"/>
        </w:rPr>
        <w:t>EMBARGOS DE DECLARAÇÃO</w:t>
      </w:r>
    </w:p>
    <w:p>
      <w:r>
        <w:t>em face da {{TIPO_DECISAO_EMBARGADA}} de ID/folhas {{ID_OU_FOLHAS_DECISAO}}, pelos fundamentos a seguir expostos.</w:t>
      </w:r>
    </w:p>
    <w:p>
      <w:pPr>
        <w:pStyle w:val="Heading1"/>
      </w:pPr>
      <w:r>
        <w:t>1. DA TEMPESTIVIDADE</w:t>
      </w:r>
    </w:p>
    <w:p>
      <w:r>
        <w:t>A parte embargante foi intimada da decisão em {{DATA_DA_INTIMACAO}}, conforme {{FORMA_OU_ID_DA_INTIMACAO}}. Considerado o regime processual aplicável ao caso concreto, o presente recurso é tempestivo.</w:t>
      </w:r>
    </w:p>
    <w:p>
      <w:pPr>
        <w:pStyle w:val="Heading1"/>
      </w:pPr>
      <w:r>
        <w:t>2. DO CABIMENTO</w:t>
      </w:r>
    </w:p>
    <w:p>
      <w:r>
        <w:t>Os presentes embargos são cabíveis porque a decisão embargada contém {{TIPO_DE_VICIO: OMISSAO/CONTRADICAO/OBSCURIDADE/ERRO_MATERIAL}}, especificamente quanto a {{PONTO_OU_QUESTAO_AFETADA}}.</w:t>
      </w:r>
    </w:p>
    <w:p>
      <w:r>
        <w:t>O objetivo deste recurso é sanar o vício indicado, delimitado nos tópicos seguintes, e não simplesmente renovar inconformismo com matéria já decidida.</w:t>
      </w:r>
    </w:p>
    <w:p>
      <w:pPr>
        <w:pStyle w:val="Heading1"/>
      </w:pPr>
      <w:r>
        <w:t>3. DO VÍCIO EXISTENTE NA DECISÃO</w:t>
      </w:r>
    </w:p>
    <w:p>
      <w:pPr>
        <w:pStyle w:val="Heading2"/>
      </w:pPr>
      <w:r>
        <w:t>3.1. Trecho e contexto relevantes</w:t>
      </w:r>
    </w:p>
    <w:p>
      <w:r>
        <w:t>A decisão embargada consignou, em síntese, que {{RESUMO_DO_TRECHO_DECISORIO}}.</w:t>
      </w:r>
    </w:p>
    <w:p>
      <w:r>
        <w:t>O ponto relevante para os presentes embargos é o seguinte: {{TRECHO_RELEVANTE}}.</w:t>
      </w:r>
    </w:p>
    <w:p>
      <w:pPr>
        <w:pStyle w:val="Heading2"/>
      </w:pPr>
      <w:r>
        <w:t>3.2. Demonstração do vício</w:t>
      </w:r>
    </w:p>
    <w:p>
      <w:r>
        <w:t>{{EXPLICACAO_OBJETIVA_DO_VICIO}}</w:t>
      </w:r>
    </w:p>
    <w:p>
      <w:r>
        <w:t>Em particular, {{DESCRICAO_DO_VICIO}}, o que exige integração, esclarecimento ou correção do pronunciamento.</w:t>
      </w:r>
    </w:p>
    <w:p>
      <w:pPr>
        <w:pStyle w:val="Heading2"/>
      </w:pPr>
      <w:r>
        <w:t>3.3. Relevância da correção</w:t>
      </w:r>
    </w:p>
    <w:p>
      <w:r>
        <w:t>O saneamento do vício é relevante porque {{IMPACTO_DO_VICIO}}. Por isso, requer-se pronunciamento expresso sobre {{PONTO_A_SANAR}}.</w:t>
      </w:r>
    </w:p>
    <w:p>
      <w:pPr>
        <w:pStyle w:val="Heading1"/>
      </w:pPr>
      <w:r>
        <w:t>4. DOS EFEITOS DA CORREÇÃO</w:t>
      </w:r>
    </w:p>
    <w:p>
      <w:r>
        <w:rPr>
          <w:b/>
        </w:rPr>
        <w:t xml:space="preserve">[BLOCO CONDICIONAL - EFEITOS MODIFICATIVOS] </w:t>
      </w:r>
      <w:r>
        <w:t>Caso o saneamento do vício identificado conduza necessariamente à alteração da conclusão da decisão, requer-se que sejam atribuídos efeitos modificativos aos embargos, exclusivamente na medida indispensável para {{RESULTADO_APOS_CORRECAO}}.</w:t>
      </w:r>
    </w:p>
    <w:p>
      <w:pPr>
        <w:pStyle w:val="Heading1"/>
      </w:pPr>
      <w:r>
        <w:t>5. DO PREQUESTIONAMENTO</w:t>
      </w:r>
    </w:p>
    <w:p>
      <w:r>
        <w:rPr>
          <w:b/>
        </w:rPr>
        <w:t xml:space="preserve">[BLOCO CONDICIONAL - PREQUESTIONAMENTO] </w:t>
      </w:r>
      <w:r>
        <w:t>Para fins de eventual acesso às instâncias superiores e apenas na medida em que a matéria seja pertinente ao caso, requer-se pronunciamento expresso sobre os seguintes dispositivos e questões: {{PREQUESTIONAMENTO}}. O pedido é formulado em conexão com o vício declaratório acima demonstrado, observado o art. 1.025 do CPC.</w:t>
      </w:r>
    </w:p>
    <w:p>
      <w:pPr>
        <w:pStyle w:val="Heading1"/>
      </w:pPr>
      <w:r>
        <w:t>6. DOS PEDIDOS</w:t>
      </w:r>
    </w:p>
    <w:p>
      <w:r>
        <w:t>Diante do exposto, requer-se:</w:t>
      </w:r>
    </w:p>
    <w:p>
      <w:pPr>
        <w:ind w:left="283" w:hanging="283"/>
      </w:pPr>
      <w:r>
        <w:t>a) o conhecimento e o acolhimento dos presentes embargos de declaração;</w:t>
      </w:r>
    </w:p>
    <w:p>
      <w:pPr>
        <w:ind w:left="283" w:hanging="283"/>
      </w:pPr>
      <w:r>
        <w:t>b) o saneamento da {{TIPO_DE_VICIO}} apontada, com pronunciamento expresso sobre {{PONTO_A_SANAR}};</w:t>
      </w:r>
    </w:p>
    <w:p>
      <w:pPr>
        <w:ind w:left="283" w:hanging="283"/>
      </w:pPr>
      <w:r>
        <w:t>c) [SE APLICÁVEL] a atribuição de efeitos modificativos, caso a correção do vício conduza necessariamente à alteração do resultado, para {{RESULTADO_APOS_CORRECAO}};</w:t>
      </w:r>
    </w:p>
    <w:p>
      <w:pPr>
        <w:ind w:left="283" w:hanging="283"/>
      </w:pPr>
      <w:r>
        <w:t>d) [SE APLICÁVEL] o pronunciamento expresso, para fins de prequestionamento, sobre {{PREQUESTIONAMENTO}};</w:t>
      </w:r>
    </w:p>
    <w:p>
      <w:pPr>
        <w:ind w:left="283" w:hanging="283"/>
      </w:pPr>
      <w:r>
        <w:t>e) [SE APLICÁVEL] caso se reconheça a possibilidade de modificação da decisão, seja observado o contraditório previsto no art. 1.023, § 2º, do CPC.</w:t>
      </w:r>
    </w:p>
    <w:p/>
    <w:p>
      <w:r>
        <w:t>Termos em que,</w:t>
        <w:br/>
        <w:t>Pede deferimento.</w:t>
      </w:r>
    </w:p>
    <w:p/>
    <w:p>
      <w:r>
        <w:t>{{LOCAL}}, {{DATA_DO_PROTOCOLO}}.</w:t>
      </w:r>
    </w:p>
    <w:p/>
    <w:p>
      <w:pPr>
        <w:jc w:val="center"/>
      </w:pPr>
      <w:r>
        <w:t>________________________________________</w:t>
        <w:br/>
      </w:r>
      <w:r>
        <w:rPr>
          <w:b/>
        </w:rPr>
        <w:t>{{ADVOGADO}}</w:t>
        <w:br/>
      </w:r>
      <w:r>
        <w:t>OAB/{{UF_OAB}} nº {{NUMERO_OAB}}</w:t>
      </w:r>
    </w:p>
    <w:p>
      <w:r/>
    </w:p>
    <w:p>
      <w:pPr>
        <w:pStyle w:val="Heading1"/>
        <w:pageBreakBefore/>
      </w:pPr>
      <w:r>
        <w:t>LISTA DE CAMPOS A PREENCHER - REMOVER ANTES DO PROTOCOLO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rPr>
          <w:cantSplit/>
        </w:trPr>
        <w:tc>
          <w:tcPr>
            <w:tcW w:type="dxa" w:w="4703"/>
          </w:tcPr>
          <w:p>
            <w:r>
              <w:rPr>
                <w:b/>
              </w:rPr>
              <w:t>Campo</w:t>
            </w:r>
          </w:p>
        </w:tc>
        <w:tc>
          <w:tcPr>
            <w:tcW w:type="dxa" w:w="4703"/>
          </w:tcPr>
          <w:p>
            <w:r>
              <w:rPr>
                <w:b/>
              </w:rPr>
              <w:t>Como preencher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{{CARGO_DO_JULGADOR}}</w:t>
            </w:r>
          </w:p>
        </w:tc>
        <w:tc>
          <w:tcPr>
            <w:tcW w:type="dxa" w:w="4703"/>
            <w:vAlign w:val="top"/>
          </w:tcPr>
          <w:p>
            <w:r>
              <w:t>Ex.: Juiz(a) de Direito, Desembargador(a) Relator(a), Ministro(a) Relator(a), conforme o caso.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{{ORGAO_JULGADOR}}</w:t>
            </w:r>
          </w:p>
        </w:tc>
        <w:tc>
          <w:tcPr>
            <w:tcW w:type="dxa" w:w="4703"/>
            <w:vAlign w:val="top"/>
          </w:tcPr>
          <w:p>
            <w:r>
              <w:t>Vara, Câmara, Turma, órgão colegiado ou gabinete competente.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{{TRIBUNAL}}</w:t>
            </w:r>
          </w:p>
        </w:tc>
        <w:tc>
          <w:tcPr>
            <w:tcW w:type="dxa" w:w="4703"/>
            <w:vAlign w:val="top"/>
          </w:tcPr>
          <w:p>
            <w:r>
              <w:t>Tribunal ou ramo do Judiciário.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{{NUMERO_PROCESSO}}</w:t>
            </w:r>
          </w:p>
        </w:tc>
        <w:tc>
          <w:tcPr>
            <w:tcW w:type="dxa" w:w="4703"/>
            <w:vAlign w:val="top"/>
          </w:tcPr>
          <w:p>
            <w:r>
              <w:t>Número único do processo.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{{PARTE_EMBARGANTE}}</w:t>
            </w:r>
          </w:p>
        </w:tc>
        <w:tc>
          <w:tcPr>
            <w:tcW w:type="dxa" w:w="4703"/>
            <w:vAlign w:val="top"/>
          </w:tcPr>
          <w:p>
            <w:r>
              <w:t>Nome da parte que opõe os embargos.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{{POSICAO_PROCESSUAL}}</w:t>
            </w:r>
          </w:p>
        </w:tc>
        <w:tc>
          <w:tcPr>
            <w:tcW w:type="dxa" w:w="4703"/>
            <w:vAlign w:val="top"/>
          </w:tcPr>
          <w:p>
            <w:r>
              <w:t>Autor(a), réu/ré, agravante, agravado(a), recorrente etc.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{{ADVOGADO}} / {{UF_OAB}} / {{NUMERO_OAB}}</w:t>
            </w:r>
          </w:p>
        </w:tc>
        <w:tc>
          <w:tcPr>
            <w:tcW w:type="dxa" w:w="4703"/>
            <w:vAlign w:val="top"/>
          </w:tcPr>
          <w:p>
            <w:r>
              <w:t>Dados profissionais do subscritor.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{{TIPO_DECISAO_EMBARGADA}}</w:t>
            </w:r>
          </w:p>
        </w:tc>
        <w:tc>
          <w:tcPr>
            <w:tcW w:type="dxa" w:w="4703"/>
            <w:vAlign w:val="top"/>
          </w:tcPr>
          <w:p>
            <w:r>
              <w:t>Sentença, decisão interlocutória, acórdão ou decisão monocrática.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{{ID_OU_FOLHAS_DECISAO}}</w:t>
            </w:r>
          </w:p>
        </w:tc>
        <w:tc>
          <w:tcPr>
            <w:tcW w:type="dxa" w:w="4703"/>
            <w:vAlign w:val="top"/>
          </w:tcPr>
          <w:p>
            <w:r>
              <w:t>Identificador eletrônico ou folhas.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{{DATA_DA_INTIMACAO}}</w:t>
            </w:r>
          </w:p>
        </w:tc>
        <w:tc>
          <w:tcPr>
            <w:tcW w:type="dxa" w:w="4703"/>
            <w:vAlign w:val="top"/>
          </w:tcPr>
          <w:p>
            <w:r>
              <w:t>Data pertinente para a verificação da tempestividade.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{{FORMA_OU_ID_DA_INTIMACAO}}</w:t>
            </w:r>
          </w:p>
        </w:tc>
        <w:tc>
          <w:tcPr>
            <w:tcW w:type="dxa" w:w="4703"/>
            <w:vAlign w:val="top"/>
          </w:tcPr>
          <w:p>
            <w:r>
              <w:t>Referência ao ato de intimação/publicação.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{{TIPO_DE_VICIO}}</w:t>
            </w:r>
          </w:p>
        </w:tc>
        <w:tc>
          <w:tcPr>
            <w:tcW w:type="dxa" w:w="4703"/>
            <w:vAlign w:val="top"/>
          </w:tcPr>
          <w:p>
            <w:r>
              <w:t>Omissão, contradição, obscuridade e/ou erro material.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{{PONTO_OU_QUESTAO_AFETADA}}</w:t>
            </w:r>
          </w:p>
        </w:tc>
        <w:tc>
          <w:tcPr>
            <w:tcW w:type="dxa" w:w="4703"/>
            <w:vAlign w:val="top"/>
          </w:tcPr>
          <w:p>
            <w:r>
              <w:t>Questão específica atingida pelo vício.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{{RESUMO_DO_TRECHO_DECISORIO}}</w:t>
            </w:r>
          </w:p>
        </w:tc>
        <w:tc>
          <w:tcPr>
            <w:tcW w:type="dxa" w:w="4703"/>
            <w:vAlign w:val="top"/>
          </w:tcPr>
          <w:p>
            <w:r>
              <w:t>Resumo objetivo do que foi decidido.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{{TRECHO_RELEVANTE}}</w:t>
            </w:r>
          </w:p>
        </w:tc>
        <w:tc>
          <w:tcPr>
            <w:tcW w:type="dxa" w:w="4703"/>
            <w:vAlign w:val="top"/>
          </w:tcPr>
          <w:p>
            <w:r>
              <w:t>Excerto breve ou referência precisa ao trecho relevante.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{{EXPLICACAO_OBJETIVA_DO_VICIO}}</w:t>
            </w:r>
          </w:p>
        </w:tc>
        <w:tc>
          <w:tcPr>
            <w:tcW w:type="dxa" w:w="4703"/>
            <w:vAlign w:val="top"/>
          </w:tcPr>
          <w:p>
            <w:r>
              <w:t>Demonstração concreta do defeito da decisão.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{{DESCRICAO_DO_VICIO}}</w:t>
            </w:r>
          </w:p>
        </w:tc>
        <w:tc>
          <w:tcPr>
            <w:tcW w:type="dxa" w:w="4703"/>
            <w:vAlign w:val="top"/>
          </w:tcPr>
          <w:p>
            <w:r>
              <w:t>Descrição técnica do vício.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{{IMPACTO_DO_VICIO}}</w:t>
            </w:r>
          </w:p>
        </w:tc>
        <w:tc>
          <w:tcPr>
            <w:tcW w:type="dxa" w:w="4703"/>
            <w:vAlign w:val="top"/>
          </w:tcPr>
          <w:p>
            <w:r>
              <w:t>Por que o saneamento é relevante.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{{PONTO_A_SANAR}}</w:t>
            </w:r>
          </w:p>
        </w:tc>
        <w:tc>
          <w:tcPr>
            <w:tcW w:type="dxa" w:w="4703"/>
            <w:vAlign w:val="top"/>
          </w:tcPr>
          <w:p>
            <w:r>
              <w:t>Pronunciamento que se pretende obter.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{{RESULTADO_APOS_CORRECAO}}</w:t>
            </w:r>
          </w:p>
        </w:tc>
        <w:tc>
          <w:tcPr>
            <w:tcW w:type="dxa" w:w="4703"/>
            <w:vAlign w:val="top"/>
          </w:tcPr>
          <w:p>
            <w:r>
              <w:t>Somente se houver efeitos modificativos como consequência necessária.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{{PREQUESTIONAMENTO}}</w:t>
            </w:r>
          </w:p>
        </w:tc>
        <w:tc>
          <w:tcPr>
            <w:tcW w:type="dxa" w:w="4703"/>
            <w:vAlign w:val="top"/>
          </w:tcPr>
          <w:p>
            <w:r>
              <w:t>Somente se houver prequestionamento pertinente.</w:t>
            </w:r>
          </w:p>
        </w:tc>
      </w:tr>
      <w:tr>
        <w:trPr>
          <w:cantSplit/>
        </w:trPr>
        <w:tc>
          <w:tcPr>
            <w:tcW w:type="dxa" w:w="4703"/>
            <w:vAlign w:val="top"/>
          </w:tcPr>
          <w:p>
            <w:r>
              <w:t>{{LOCAL}} / {{DATA_DO_PROTOCOLO}}</w:t>
            </w:r>
          </w:p>
        </w:tc>
        <w:tc>
          <w:tcPr>
            <w:tcW w:type="dxa" w:w="4703"/>
            <w:vAlign w:val="top"/>
          </w:tcPr>
          <w:p>
            <w:r>
              <w:t>Local e data final da petição.</w:t>
            </w:r>
          </w:p>
        </w:tc>
      </w:tr>
    </w:tbl>
    <w:p/>
    <w:p>
      <w:pPr>
        <w:pStyle w:val="NotaEditorial"/>
      </w:pPr>
      <w:r>
        <w:t>Aviso: este modelo é material geral de publicação e não substitui análise jurídica do caso concreto. Competência, cabimento, tempestividade, estratégia recursal, efeitos e regras locais devem ser revistos antes do uso.</w:t>
      </w:r>
    </w:p>
    <w:sectPr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4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Editorial">
    <w:name w:val="Nota Editorial"/>
    <w:pPr>
      <w:spacing w:after="80"/>
    </w:pPr>
    <w:rPr>
      <w:rFonts w:ascii="Arial" w:hAnsi="Arial" w:eastAsia="Arial"/>
      <w:color w:val="5A5A5A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planalto.gov.br/ccivil_03/_ato2015-2018/2015/lei/l13105.htm" TargetMode="External"/><Relationship Id="rId10" Type="http://schemas.openxmlformats.org/officeDocument/2006/relationships/hyperlink" Target="https://ww2.stj.jus.br/docs_internet/revista/eletronica/stj-revista-sumulas-2010_7_capSumula98.pdf" TargetMode="External"/><Relationship Id="rId11" Type="http://schemas.openxmlformats.org/officeDocument/2006/relationships/hyperlink" Target="https://www.stj.jus.br/sites/portalp/Paginas/Comunicacao/Noticias/2023/23052023-Pesquisa-Pronta-julgados-sobre-efeitos-infringentes-aos-embargos-de-declaracao-e-multa-por-litigancia-de-ma-f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Embargos de Declaração - CPC</dc:title>
  <dc:subject>Modelo editável de peça processual para fins gerais</dc:subject>
  <dc:creator/>
  <cp:keywords>embargos de declaração; CPC; modelo; processo civil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