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D5E" w:rsidRDefault="00987390">
      <w:pPr>
        <w:spacing w:after="160"/>
        <w:jc w:val="center"/>
      </w:pPr>
      <w:r>
        <w:rPr>
          <w:rFonts w:eastAsia="Arial"/>
          <w:b/>
          <w:sz w:val="32"/>
        </w:rPr>
        <w:t>MODELO DE RÉPLICA À CONTESTAÇÃO</w:t>
      </w:r>
    </w:p>
    <w:p w:rsidR="00201D5E" w:rsidRDefault="00987390">
      <w:pPr>
        <w:spacing w:after="280"/>
        <w:jc w:val="center"/>
      </w:pPr>
      <w:r>
        <w:rPr>
          <w:rFonts w:eastAsia="Arial"/>
          <w:i/>
          <w:color w:val="555555"/>
        </w:rPr>
        <w:t>Procedimento comum cível — Brasil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201D5E">
        <w:trPr>
          <w:jc w:val="center"/>
        </w:trPr>
        <w:tc>
          <w:tcPr>
            <w:tcW w:w="9406" w:type="dxa"/>
            <w:shd w:val="clear" w:color="auto" w:fill="F2F2F2"/>
            <w:tcMar>
              <w:top w:w="160" w:type="dxa"/>
              <w:left w:w="180" w:type="dxa"/>
              <w:bottom w:w="160" w:type="dxa"/>
              <w:right w:w="18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b/>
                <w:sz w:val="21"/>
              </w:rPr>
              <w:t>INSTRUÇÕES DE USO — REMOVER ESTA PARTE ANTES DO PROTOCOLO</w:t>
            </w:r>
          </w:p>
          <w:p w:rsidR="00201D5E" w:rsidRDefault="00987390">
            <w:pPr>
              <w:spacing w:after="0"/>
            </w:pPr>
            <w:r>
              <w:rPr>
                <w:rFonts w:eastAsia="Arial"/>
                <w:sz w:val="19"/>
              </w:rPr>
              <w:t xml:space="preserve">Este é um modelo geral e editável. Não é automaticamente adequado a Juizado Especial, processo do trabalho, procedimento especial, </w:t>
            </w:r>
            <w:r>
              <w:rPr>
                <w:rFonts w:eastAsia="Arial"/>
                <w:sz w:val="19"/>
              </w:rPr>
              <w:t>fase recursal ou situação com regras locais específicas. Confira a contestação, a intimação, o tribunal, o rito, a legislação material e os documentos do caso.</w:t>
            </w:r>
          </w:p>
        </w:tc>
      </w:tr>
    </w:tbl>
    <w:p w:rsidR="00201D5E" w:rsidRDefault="00201D5E"/>
    <w:p w:rsidR="00201D5E" w:rsidRDefault="00987390">
      <w:pPr>
        <w:pStyle w:val="Ttulo1"/>
        <w:spacing w:before="200" w:after="100"/>
      </w:pPr>
      <w:r>
        <w:rPr>
          <w:rFonts w:ascii="Arial" w:eastAsia="Arial" w:hAnsi="Arial"/>
        </w:rPr>
        <w:t>1. Ficha de uso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45"/>
        <w:gridCol w:w="7061"/>
      </w:tblGrid>
      <w:tr w:rsidR="00201D5E">
        <w:trPr>
          <w:jc w:val="center"/>
        </w:trPr>
        <w:tc>
          <w:tcPr>
            <w:tcW w:w="2551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01D5E" w:rsidRDefault="00987390">
            <w:pPr>
              <w:spacing w:after="0"/>
            </w:pPr>
            <w:r>
              <w:rPr>
                <w:rFonts w:eastAsia="Arial"/>
                <w:b/>
                <w:sz w:val="19"/>
              </w:rPr>
              <w:t>Família</w:t>
            </w:r>
          </w:p>
        </w:tc>
        <w:tc>
          <w:tcPr>
            <w:tcW w:w="70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9"/>
              </w:rPr>
              <w:t>A — Peça processual</w:t>
            </w:r>
          </w:p>
        </w:tc>
      </w:tr>
      <w:tr w:rsidR="00201D5E">
        <w:trPr>
          <w:jc w:val="center"/>
        </w:trPr>
        <w:tc>
          <w:tcPr>
            <w:tcW w:w="2551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01D5E" w:rsidRDefault="00987390">
            <w:pPr>
              <w:spacing w:after="0"/>
            </w:pPr>
            <w:r>
              <w:rPr>
                <w:rFonts w:eastAsia="Arial"/>
                <w:b/>
                <w:sz w:val="19"/>
              </w:rPr>
              <w:t>Finalidade</w:t>
            </w:r>
          </w:p>
        </w:tc>
        <w:tc>
          <w:tcPr>
            <w:tcW w:w="70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9"/>
              </w:rPr>
              <w:t xml:space="preserve">Manifestação do autor sobre matérias, </w:t>
            </w:r>
            <w:r>
              <w:rPr>
                <w:rFonts w:eastAsia="Arial"/>
                <w:sz w:val="19"/>
              </w:rPr>
              <w:t>fatos e documentos trazidos na contestação.</w:t>
            </w:r>
          </w:p>
        </w:tc>
      </w:tr>
      <w:tr w:rsidR="00201D5E">
        <w:trPr>
          <w:jc w:val="center"/>
        </w:trPr>
        <w:tc>
          <w:tcPr>
            <w:tcW w:w="2551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01D5E" w:rsidRDefault="00987390">
            <w:pPr>
              <w:spacing w:after="0"/>
            </w:pPr>
            <w:r>
              <w:rPr>
                <w:rFonts w:eastAsia="Arial"/>
                <w:b/>
                <w:sz w:val="19"/>
              </w:rPr>
              <w:t>Jurisdição</w:t>
            </w:r>
          </w:p>
        </w:tc>
        <w:tc>
          <w:tcPr>
            <w:tcW w:w="70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9"/>
              </w:rPr>
              <w:t>Brasil — modelo nacional genérico; confirmar tribunal/UF e rito.</w:t>
            </w:r>
          </w:p>
        </w:tc>
      </w:tr>
      <w:tr w:rsidR="00201D5E">
        <w:trPr>
          <w:jc w:val="center"/>
        </w:trPr>
        <w:tc>
          <w:tcPr>
            <w:tcW w:w="2551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01D5E" w:rsidRDefault="00987390">
            <w:pPr>
              <w:spacing w:after="0"/>
            </w:pPr>
            <w:r>
              <w:rPr>
                <w:rFonts w:eastAsia="Arial"/>
                <w:b/>
                <w:sz w:val="19"/>
              </w:rPr>
              <w:t>Área</w:t>
            </w:r>
          </w:p>
        </w:tc>
        <w:tc>
          <w:tcPr>
            <w:tcW w:w="70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9"/>
              </w:rPr>
              <w:t>Direito Processual Civil / procedimento comum.</w:t>
            </w:r>
          </w:p>
        </w:tc>
      </w:tr>
      <w:tr w:rsidR="00201D5E">
        <w:trPr>
          <w:jc w:val="center"/>
        </w:trPr>
        <w:tc>
          <w:tcPr>
            <w:tcW w:w="2551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01D5E" w:rsidRDefault="00987390">
            <w:pPr>
              <w:spacing w:after="0"/>
            </w:pPr>
            <w:r>
              <w:rPr>
                <w:rFonts w:eastAsia="Arial"/>
                <w:b/>
                <w:sz w:val="19"/>
              </w:rPr>
              <w:t>Risco</w:t>
            </w:r>
          </w:p>
        </w:tc>
        <w:tc>
          <w:tcPr>
            <w:tcW w:w="70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9"/>
              </w:rPr>
              <w:t>Alto.</w:t>
            </w:r>
          </w:p>
        </w:tc>
      </w:tr>
      <w:tr w:rsidR="00201D5E">
        <w:trPr>
          <w:jc w:val="center"/>
        </w:trPr>
        <w:tc>
          <w:tcPr>
            <w:tcW w:w="2551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01D5E" w:rsidRDefault="00987390">
            <w:pPr>
              <w:spacing w:after="0"/>
            </w:pPr>
            <w:r>
              <w:rPr>
                <w:rFonts w:eastAsia="Arial"/>
                <w:b/>
                <w:sz w:val="19"/>
              </w:rPr>
              <w:t>Versão</w:t>
            </w:r>
          </w:p>
        </w:tc>
        <w:tc>
          <w:tcPr>
            <w:tcW w:w="70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9"/>
              </w:rPr>
              <w:t>1.0</w:t>
            </w:r>
          </w:p>
        </w:tc>
      </w:tr>
      <w:tr w:rsidR="00201D5E">
        <w:trPr>
          <w:jc w:val="center"/>
        </w:trPr>
        <w:tc>
          <w:tcPr>
            <w:tcW w:w="2551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01D5E" w:rsidRDefault="00987390">
            <w:pPr>
              <w:spacing w:after="0"/>
            </w:pPr>
            <w:r>
              <w:rPr>
                <w:rFonts w:eastAsia="Arial"/>
                <w:b/>
                <w:sz w:val="19"/>
              </w:rPr>
              <w:t>Data de revisão</w:t>
            </w:r>
          </w:p>
        </w:tc>
        <w:tc>
          <w:tcPr>
            <w:tcW w:w="70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9"/>
              </w:rPr>
              <w:t>11/08/2026</w:t>
            </w:r>
          </w:p>
        </w:tc>
      </w:tr>
      <w:tr w:rsidR="00201D5E">
        <w:trPr>
          <w:jc w:val="center"/>
        </w:trPr>
        <w:tc>
          <w:tcPr>
            <w:tcW w:w="2551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01D5E" w:rsidRDefault="00987390">
            <w:pPr>
              <w:spacing w:after="0"/>
            </w:pPr>
            <w:r>
              <w:rPr>
                <w:rFonts w:eastAsia="Arial"/>
                <w:b/>
                <w:sz w:val="19"/>
              </w:rPr>
              <w:t>Próxima revisão sugerida</w:t>
            </w:r>
          </w:p>
        </w:tc>
        <w:tc>
          <w:tcPr>
            <w:tcW w:w="70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9"/>
              </w:rPr>
              <w:t>10/10/2026, ou antes se houver alteração legislativa, precedente qualificado ou regra local relevante.</w:t>
            </w:r>
          </w:p>
        </w:tc>
      </w:tr>
    </w:tbl>
    <w:p w:rsidR="00201D5E" w:rsidRDefault="00987390">
      <w:pPr>
        <w:pStyle w:val="Ttulo1"/>
        <w:spacing w:before="200" w:after="100"/>
      </w:pPr>
      <w:r>
        <w:rPr>
          <w:rFonts w:ascii="Arial" w:eastAsia="Arial" w:hAnsi="Arial"/>
        </w:rPr>
        <w:t>2. Quando usar</w:t>
      </w:r>
    </w:p>
    <w:p w:rsidR="00201D5E" w:rsidRDefault="00987390">
      <w:pPr>
        <w:pStyle w:val="Commarcadores"/>
        <w:spacing w:after="60" w:line="264" w:lineRule="auto"/>
      </w:pPr>
      <w:r>
        <w:rPr>
          <w:rFonts w:eastAsia="Arial"/>
          <w:sz w:val="21"/>
        </w:rPr>
        <w:t>Após a contestação, quando o autor tiver sido intimado a se manifestar no procedimento comum cível.</w:t>
      </w:r>
    </w:p>
    <w:p w:rsidR="00201D5E" w:rsidRDefault="00987390">
      <w:pPr>
        <w:pStyle w:val="Commarcadores"/>
        <w:spacing w:after="60" w:line="264" w:lineRule="auto"/>
      </w:pPr>
      <w:r>
        <w:rPr>
          <w:rFonts w:eastAsia="Arial"/>
          <w:sz w:val="21"/>
        </w:rPr>
        <w:t xml:space="preserve">Quando a defesa alegar fato </w:t>
      </w:r>
      <w:r>
        <w:rPr>
          <w:rFonts w:eastAsia="Arial"/>
          <w:sz w:val="21"/>
        </w:rPr>
        <w:t>impeditivo, modificativo ou extintivo do direito do autor.</w:t>
      </w:r>
    </w:p>
    <w:p w:rsidR="00201D5E" w:rsidRDefault="00987390">
      <w:pPr>
        <w:pStyle w:val="Commarcadores"/>
        <w:spacing w:after="60" w:line="264" w:lineRule="auto"/>
      </w:pPr>
      <w:r>
        <w:rPr>
          <w:rFonts w:eastAsia="Arial"/>
          <w:sz w:val="21"/>
        </w:rPr>
        <w:t>Quando a contestação suscitar matéria preliminar do art. 337 do CPC.</w:t>
      </w:r>
    </w:p>
    <w:p w:rsidR="00201D5E" w:rsidRDefault="00987390">
      <w:pPr>
        <w:pStyle w:val="Commarcadores"/>
        <w:spacing w:after="60" w:line="264" w:lineRule="auto"/>
      </w:pPr>
      <w:r>
        <w:rPr>
          <w:rFonts w:eastAsia="Arial"/>
          <w:sz w:val="21"/>
        </w:rPr>
        <w:t>Quando houver documentos anexados à contestação que devam ser analisados pelo autor.</w:t>
      </w:r>
    </w:p>
    <w:p w:rsidR="00201D5E" w:rsidRDefault="00987390">
      <w:pPr>
        <w:pStyle w:val="Ttulo1"/>
        <w:spacing w:before="200" w:after="100"/>
      </w:pPr>
      <w:r>
        <w:rPr>
          <w:rFonts w:ascii="Arial" w:eastAsia="Arial" w:hAnsi="Arial"/>
        </w:rPr>
        <w:t>3. Quando não usar sem adaptação específica</w:t>
      </w:r>
    </w:p>
    <w:p w:rsidR="00201D5E" w:rsidRDefault="00987390">
      <w:pPr>
        <w:pStyle w:val="Commarcadores"/>
        <w:spacing w:after="60" w:line="264" w:lineRule="auto"/>
      </w:pPr>
      <w:r>
        <w:rPr>
          <w:rFonts w:eastAsia="Arial"/>
          <w:sz w:val="21"/>
        </w:rPr>
        <w:t>Juizados Especiais, processo do trabalho, arbitragem, procedimentos especiais ou processos com rito próprio.</w:t>
      </w:r>
    </w:p>
    <w:p w:rsidR="00201D5E" w:rsidRDefault="00987390">
      <w:pPr>
        <w:pStyle w:val="Commarcadores"/>
        <w:spacing w:after="60" w:line="264" w:lineRule="auto"/>
      </w:pPr>
      <w:r>
        <w:rPr>
          <w:rFonts w:eastAsia="Arial"/>
          <w:sz w:val="21"/>
        </w:rPr>
        <w:t>Situações em que houve reconvenção: a resposta à reconvenção exige tratamento próprio e não deve ser confundida com a réplica.</w:t>
      </w:r>
    </w:p>
    <w:p w:rsidR="00201D5E" w:rsidRDefault="00987390">
      <w:pPr>
        <w:pStyle w:val="Commarcadores"/>
        <w:spacing w:after="60" w:line="264" w:lineRule="auto"/>
      </w:pPr>
      <w:r>
        <w:rPr>
          <w:rFonts w:eastAsia="Arial"/>
          <w:sz w:val="21"/>
        </w:rPr>
        <w:t>Casos em que a inti</w:t>
      </w:r>
      <w:r>
        <w:rPr>
          <w:rFonts w:eastAsia="Arial"/>
          <w:sz w:val="21"/>
        </w:rPr>
        <w:t>mação, o prazo, a competência ou a regra local do tribunal ainda não foram conferidos.</w:t>
      </w:r>
    </w:p>
    <w:p w:rsidR="00201D5E" w:rsidRDefault="00987390">
      <w:pPr>
        <w:pStyle w:val="Commarcadores"/>
        <w:spacing w:after="60" w:line="264" w:lineRule="auto"/>
      </w:pPr>
      <w:r>
        <w:rPr>
          <w:rFonts w:eastAsia="Arial"/>
          <w:sz w:val="21"/>
        </w:rPr>
        <w:t>Casos em que se pretende alegar falsidade ou inautenticidade documental sem fundamentos concretos e individualizados.</w:t>
      </w:r>
    </w:p>
    <w:p w:rsidR="00201D5E" w:rsidRDefault="00987390">
      <w:pPr>
        <w:pStyle w:val="Ttulo1"/>
        <w:spacing w:before="200" w:after="100"/>
      </w:pPr>
      <w:r>
        <w:rPr>
          <w:rFonts w:ascii="Arial" w:eastAsia="Arial" w:hAnsi="Arial"/>
        </w:rPr>
        <w:lastRenderedPageBreak/>
        <w:t>4. Base normativa validada</w:t>
      </w:r>
    </w:p>
    <w:p w:rsidR="00201D5E" w:rsidRDefault="00987390">
      <w:pPr>
        <w:pStyle w:val="Commarcadores"/>
        <w:spacing w:after="60" w:line="264" w:lineRule="auto"/>
      </w:pPr>
      <w:r>
        <w:rPr>
          <w:rFonts w:eastAsia="Arial"/>
          <w:sz w:val="21"/>
        </w:rPr>
        <w:t>CPC, art. 350: oitiva do</w:t>
      </w:r>
      <w:r>
        <w:rPr>
          <w:rFonts w:eastAsia="Arial"/>
          <w:sz w:val="21"/>
        </w:rPr>
        <w:t xml:space="preserve"> autor, em 15 dias, quando a defesa alegar fato impeditivo, modificativo ou extintivo.</w:t>
      </w:r>
    </w:p>
    <w:p w:rsidR="00201D5E" w:rsidRDefault="00987390">
      <w:pPr>
        <w:pStyle w:val="Commarcadores"/>
        <w:spacing w:after="60" w:line="264" w:lineRule="auto"/>
      </w:pPr>
      <w:r>
        <w:rPr>
          <w:rFonts w:eastAsia="Arial"/>
          <w:sz w:val="21"/>
        </w:rPr>
        <w:t>CPC, art. 351: oitiva do autor, em 15 dias, quando a defesa alegar matérias do art. 337.</w:t>
      </w:r>
    </w:p>
    <w:p w:rsidR="00201D5E" w:rsidRDefault="00987390">
      <w:pPr>
        <w:pStyle w:val="Commarcadores"/>
        <w:spacing w:after="60" w:line="264" w:lineRule="auto"/>
      </w:pPr>
      <w:r>
        <w:rPr>
          <w:rFonts w:eastAsia="Arial"/>
          <w:sz w:val="21"/>
        </w:rPr>
        <w:t>CPC, arts. 436 e 437: manifestação específica sobre documentos anexados à contes</w:t>
      </w:r>
      <w:r>
        <w:rPr>
          <w:rFonts w:eastAsia="Arial"/>
          <w:sz w:val="21"/>
        </w:rPr>
        <w:t>tação; impugnação de autenticidade ou falsidade não deve ser genérica.</w:t>
      </w:r>
    </w:p>
    <w:p w:rsidR="00201D5E" w:rsidRDefault="00987390">
      <w:pPr>
        <w:pStyle w:val="Commarcadores"/>
        <w:spacing w:after="60" w:line="264" w:lineRule="auto"/>
      </w:pPr>
      <w:r>
        <w:rPr>
          <w:rFonts w:eastAsia="Arial"/>
          <w:sz w:val="21"/>
        </w:rPr>
        <w:t>CPC, arts. 219 e 224: regras gerais de contagem de prazos processuais; o termo concreto depende do marco de intimação e do calendário aplicável.</w:t>
      </w:r>
    </w:p>
    <w:p w:rsidR="00201D5E" w:rsidRDefault="00987390">
      <w:pPr>
        <w:pStyle w:val="Commarcadores"/>
        <w:spacing w:after="60" w:line="264" w:lineRule="auto"/>
      </w:pPr>
      <w:r>
        <w:rPr>
          <w:rFonts w:eastAsia="Arial"/>
          <w:sz w:val="21"/>
        </w:rPr>
        <w:t xml:space="preserve">CPC, arts. 369, 370 e 373: meios de </w:t>
      </w:r>
      <w:r>
        <w:rPr>
          <w:rFonts w:eastAsia="Arial"/>
          <w:sz w:val="21"/>
        </w:rPr>
        <w:t>prova, poderes instrutórios e distribuição do ônus da prova.</w:t>
      </w:r>
    </w:p>
    <w:p w:rsidR="00201D5E" w:rsidRDefault="00987390">
      <w:pPr>
        <w:pStyle w:val="Commarcadores"/>
        <w:spacing w:after="60" w:line="264" w:lineRule="auto"/>
      </w:pPr>
      <w:r>
        <w:rPr>
          <w:rFonts w:eastAsia="Arial"/>
          <w:sz w:val="21"/>
        </w:rPr>
        <w:t>CPC, arts. 434 e 435: momento de juntada documental e hipóteses de documentos novos.</w:t>
      </w:r>
    </w:p>
    <w:p w:rsidR="00201D5E" w:rsidRDefault="00987390">
      <w:pPr>
        <w:pStyle w:val="Notaeditorial"/>
      </w:pPr>
      <w:r>
        <w:t>Jurisprudência não foi inserida no corpo do modelo: sem uma controvérsia concreta, ela não é necessária para a</w:t>
      </w:r>
      <w:r>
        <w:t xml:space="preserve"> estrutura-base. Se uma tese material ou processual depender de precedente, pesquise e confirme no repositório oficial antes de incluir.</w:t>
      </w:r>
    </w:p>
    <w:p w:rsidR="00201D5E" w:rsidRDefault="00987390">
      <w:pPr>
        <w:pStyle w:val="Ttulo1"/>
        <w:spacing w:before="200" w:after="100"/>
      </w:pPr>
      <w:r>
        <w:rPr>
          <w:rFonts w:ascii="Arial" w:eastAsia="Arial" w:hAnsi="Arial"/>
        </w:rPr>
        <w:t>5. Matriz de requisitos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836"/>
        <w:gridCol w:w="2326"/>
        <w:gridCol w:w="2194"/>
        <w:gridCol w:w="2250"/>
      </w:tblGrid>
      <w:tr w:rsidR="00201D5E">
        <w:trPr>
          <w:tblHeader/>
          <w:jc w:val="center"/>
        </w:trPr>
        <w:tc>
          <w:tcPr>
            <w:tcW w:w="2351" w:type="dxa"/>
            <w:shd w:val="clear" w:color="auto" w:fill="E6E6E6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b/>
                <w:sz w:val="18"/>
              </w:rPr>
              <w:t>Elemento</w:t>
            </w:r>
          </w:p>
        </w:tc>
        <w:tc>
          <w:tcPr>
            <w:tcW w:w="2351" w:type="dxa"/>
            <w:shd w:val="clear" w:color="auto" w:fill="E6E6E6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b/>
                <w:sz w:val="18"/>
              </w:rPr>
              <w:t>Classificação</w:t>
            </w:r>
          </w:p>
        </w:tc>
        <w:tc>
          <w:tcPr>
            <w:tcW w:w="2351" w:type="dxa"/>
            <w:shd w:val="clear" w:color="auto" w:fill="E6E6E6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b/>
                <w:sz w:val="18"/>
              </w:rPr>
              <w:t>Aplicação</w:t>
            </w:r>
          </w:p>
        </w:tc>
        <w:tc>
          <w:tcPr>
            <w:tcW w:w="2351" w:type="dxa"/>
            <w:shd w:val="clear" w:color="auto" w:fill="E6E6E6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b/>
                <w:sz w:val="18"/>
              </w:rPr>
              <w:t>Risco/observação</w:t>
            </w:r>
          </w:p>
        </w:tc>
      </w:tr>
      <w:tr w:rsidR="00201D5E">
        <w:trPr>
          <w:jc w:val="center"/>
        </w:trPr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Identificação do juízo, processo e partes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Obrigatório operacional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Sempre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Conferir tribunal, vara/unidade e número do processo.</w:t>
            </w:r>
          </w:p>
        </w:tc>
      </w:tr>
      <w:tr w:rsidR="00201D5E">
        <w:trPr>
          <w:jc w:val="center"/>
        </w:trPr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Tempestividade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Recomendado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Quando houver prazo/intimação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Não calcular sem marco processual e calendário confirmados.</w:t>
            </w:r>
          </w:p>
        </w:tc>
      </w:tr>
      <w:tr w:rsidR="00201D5E">
        <w:trPr>
          <w:jc w:val="center"/>
        </w:trPr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Resposta a preliminares do art. 337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Condicional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Se s</w:t>
            </w:r>
            <w:r>
              <w:rPr>
                <w:rFonts w:eastAsia="Arial"/>
                <w:sz w:val="17"/>
              </w:rPr>
              <w:t>uscitadas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Enfrentar uma a uma; remover a seção se inexistentes.</w:t>
            </w:r>
          </w:p>
        </w:tc>
      </w:tr>
      <w:tr w:rsidR="00201D5E">
        <w:trPr>
          <w:jc w:val="center"/>
        </w:trPr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Resposta a fatos impeditivos/modificativos/extintivos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Condicional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Se alegados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Confrontar fato, prova e fundamento.</w:t>
            </w:r>
          </w:p>
        </w:tc>
      </w:tr>
      <w:tr w:rsidR="00201D5E">
        <w:trPr>
          <w:jc w:val="center"/>
        </w:trPr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Manifestação sobre documentos da contestação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Condicional essencial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 xml:space="preserve">Se </w:t>
            </w:r>
            <w:r>
              <w:rPr>
                <w:rFonts w:eastAsia="Arial"/>
                <w:sz w:val="17"/>
              </w:rPr>
              <w:t>houver documentos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Individualizar o documento e a postura do art. 436.</w:t>
            </w:r>
          </w:p>
        </w:tc>
      </w:tr>
      <w:tr w:rsidR="00201D5E">
        <w:trPr>
          <w:jc w:val="center"/>
        </w:trPr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Arguição de falsidade/inautenticidade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Condicional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Somente com base concreta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Exige argumentação específica; não usar formulação genérica.</w:t>
            </w:r>
          </w:p>
        </w:tc>
      </w:tr>
      <w:tr w:rsidR="00201D5E">
        <w:trPr>
          <w:jc w:val="center"/>
        </w:trPr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Juntada de documentos novos pelo autor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Condicio</w:t>
            </w:r>
            <w:r>
              <w:rPr>
                <w:rFonts w:eastAsia="Arial"/>
                <w:sz w:val="17"/>
              </w:rPr>
              <w:t>nal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Nas hipóteses legais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Explicar a finalidade e, quando cabível, por que não foram juntados antes.</w:t>
            </w:r>
          </w:p>
        </w:tc>
      </w:tr>
      <w:tr w:rsidR="00201D5E">
        <w:trPr>
          <w:jc w:val="center"/>
        </w:trPr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Provas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Recomendado/condicional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Conforme pontos controvertidos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Relacionar cada prova ao fato que se pretende demonstrar.</w:t>
            </w:r>
          </w:p>
        </w:tc>
      </w:tr>
      <w:tr w:rsidR="00201D5E">
        <w:trPr>
          <w:jc w:val="center"/>
        </w:trPr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Jurisprudência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Opcional/condicional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Quando alterar a tese ou o risco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Verificar em repositório oficial; não inserir apenas para ornamentação.</w:t>
            </w:r>
          </w:p>
        </w:tc>
      </w:tr>
      <w:tr w:rsidR="00201D5E">
        <w:trPr>
          <w:jc w:val="center"/>
        </w:trPr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Regras locais do tribunal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Condicional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Conforme tribunal/UF</w:t>
            </w:r>
          </w:p>
        </w:tc>
        <w:tc>
          <w:tcPr>
            <w:tcW w:w="2351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201D5E" w:rsidRDefault="00987390">
            <w:pPr>
              <w:spacing w:after="0"/>
            </w:pPr>
            <w:r>
              <w:rPr>
                <w:rFonts w:eastAsia="Arial"/>
                <w:sz w:val="17"/>
              </w:rPr>
              <w:t>Não verificadas neste modelo nacional.</w:t>
            </w:r>
          </w:p>
        </w:tc>
      </w:tr>
    </w:tbl>
    <w:p w:rsidR="00201D5E" w:rsidRDefault="00987390">
      <w:bookmarkStart w:id="0" w:name="_GoBack"/>
      <w:bookmarkEnd w:id="0"/>
      <w:r>
        <w:br w:type="page"/>
      </w:r>
    </w:p>
    <w:p w:rsidR="00201D5E" w:rsidRDefault="00987390">
      <w:pPr>
        <w:spacing w:after="360"/>
        <w:jc w:val="center"/>
      </w:pPr>
      <w:r>
        <w:rPr>
          <w:rFonts w:eastAsia="Arial"/>
          <w:b/>
        </w:rPr>
        <w:lastRenderedPageBreak/>
        <w:t>AO JUÍZO DA {{VARA_OU_UNIDADE_JUDICIARIA}} DA {{COMARCA_OU_SUBSECAO}} – {{UF}}</w:t>
      </w:r>
    </w:p>
    <w:p w:rsidR="00201D5E" w:rsidRDefault="00987390">
      <w:pPr>
        <w:spacing w:after="200"/>
      </w:pPr>
      <w:r>
        <w:rPr>
          <w:rFonts w:eastAsia="Arial"/>
          <w:b/>
        </w:rPr>
        <w:t>Processo nº {{NU</w:t>
      </w:r>
      <w:r>
        <w:rPr>
          <w:rFonts w:eastAsia="Arial"/>
          <w:b/>
        </w:rPr>
        <w:t>MERO_PROCESSO}}</w:t>
      </w:r>
    </w:p>
    <w:p w:rsidR="00201D5E" w:rsidRDefault="00987390">
      <w:pPr>
        <w:ind w:firstLine="454"/>
      </w:pPr>
      <w:r>
        <w:rPr>
          <w:rFonts w:eastAsia="Arial"/>
        </w:rPr>
        <w:t>{{NOME_AUTOR}}, já qualificado(a) nos autos da {{TIPO_DE_ACAO}} que move em face de {{NOME_REU}}, por seu(sua) advogado(a), vem, em atenção à intimação de ID {{ID_DA_INTIMACAO}}, com fundamento nos arts. 350, 351 e 437 do Código de Processo</w:t>
      </w:r>
      <w:r>
        <w:rPr>
          <w:rFonts w:eastAsia="Arial"/>
        </w:rPr>
        <w:t xml:space="preserve"> Civil, apresentar</w:t>
      </w:r>
    </w:p>
    <w:p w:rsidR="00201D5E" w:rsidRDefault="00987390">
      <w:pPr>
        <w:spacing w:before="160" w:after="280"/>
        <w:jc w:val="center"/>
      </w:pPr>
      <w:r>
        <w:rPr>
          <w:rFonts w:eastAsia="Arial"/>
          <w:b/>
          <w:sz w:val="28"/>
        </w:rPr>
        <w:t>RÉPLICA À CONTESTAÇÃO</w:t>
      </w:r>
    </w:p>
    <w:p w:rsidR="00201D5E" w:rsidRDefault="00987390">
      <w:pPr>
        <w:ind w:firstLine="454"/>
      </w:pPr>
      <w:r>
        <w:rPr>
          <w:rFonts w:eastAsia="Arial"/>
        </w:rPr>
        <w:t>pelos fundamentos a seguir expostos.</w:t>
      </w:r>
    </w:p>
    <w:p w:rsidR="00201D5E" w:rsidRDefault="00987390">
      <w:pPr>
        <w:pStyle w:val="Ttulo1"/>
        <w:spacing w:before="200" w:after="100"/>
      </w:pPr>
      <w:r>
        <w:rPr>
          <w:rFonts w:ascii="Arial" w:eastAsia="Arial" w:hAnsi="Arial"/>
        </w:rPr>
        <w:t>1. DA TEMPESTIVIDADE</w:t>
      </w:r>
    </w:p>
    <w:p w:rsidR="00201D5E" w:rsidRDefault="00987390">
      <w:pPr>
        <w:ind w:firstLine="454"/>
      </w:pPr>
      <w:r>
        <w:rPr>
          <w:rFonts w:eastAsia="Arial"/>
        </w:rPr>
        <w:t>A parte autora foi intimada para se manifestar sobre a contestação em {{DATA_INTIMACAO}}, conforme o ato de ID {{ID_DA_INTIMACAO}}, sendo a presente manifest</w:t>
      </w:r>
      <w:r>
        <w:rPr>
          <w:rFonts w:eastAsia="Arial"/>
        </w:rPr>
        <w:t>ação tempestiva segundo a contagem aplicável ao caso concreto.</w:t>
      </w:r>
    </w:p>
    <w:p w:rsidR="00201D5E" w:rsidRDefault="00987390">
      <w:pPr>
        <w:ind w:firstLine="454"/>
      </w:pPr>
      <w:r>
        <w:rPr>
          <w:rFonts w:eastAsia="Arial"/>
        </w:rPr>
        <w:t xml:space="preserve">Os arts. 350 e 351 do CPC preveem prazo de 15 (quinze) dias nas hipóteses ali descritas, sem prejuízo da conferência do termo inicial, das regras de contagem dos prazos processuais e de </w:t>
      </w:r>
      <w:r>
        <w:rPr>
          <w:rFonts w:eastAsia="Arial"/>
        </w:rPr>
        <w:t>eventual determinação judicial específica.</w:t>
      </w:r>
    </w:p>
    <w:p w:rsidR="00201D5E" w:rsidRDefault="00987390">
      <w:pPr>
        <w:pStyle w:val="Ttulo1"/>
        <w:spacing w:before="200" w:after="100"/>
      </w:pPr>
      <w:r>
        <w:rPr>
          <w:rFonts w:ascii="Arial" w:eastAsia="Arial" w:hAnsi="Arial"/>
        </w:rPr>
        <w:t>2. SÍNTESE OBJETIVA DA CONTESTAÇÃO</w:t>
      </w:r>
    </w:p>
    <w:p w:rsidR="00201D5E" w:rsidRDefault="00987390">
      <w:pPr>
        <w:ind w:firstLine="454"/>
      </w:pPr>
      <w:r>
        <w:rPr>
          <w:rFonts w:eastAsia="Arial"/>
        </w:rPr>
        <w:t xml:space="preserve">Em síntese, a parte ré sustenta {{RESUMO_DA_CONTESTACAO}}. A presente manifestação concentra-se nos pontos efetivamente controvertidos, sem prejuízo dos fundamentos e pedidos já </w:t>
      </w:r>
      <w:r>
        <w:rPr>
          <w:rFonts w:eastAsia="Arial"/>
        </w:rPr>
        <w:t>formulados na petição inicial.</w:t>
      </w:r>
    </w:p>
    <w:p w:rsidR="00201D5E" w:rsidRDefault="00987390">
      <w:pPr>
        <w:pStyle w:val="Ttulo1"/>
        <w:spacing w:before="200" w:after="100"/>
      </w:pPr>
      <w:r>
        <w:rPr>
          <w:rFonts w:ascii="Arial" w:eastAsia="Arial" w:hAnsi="Arial"/>
        </w:rPr>
        <w:t>3. DAS QUESTÕES PROCESSUAIS SUSCITADAS NA CONTESTAÇÃO</w:t>
      </w:r>
    </w:p>
    <w:p w:rsidR="00201D5E" w:rsidRDefault="00987390">
      <w:pPr>
        <w:pStyle w:val="Ttulo2"/>
        <w:spacing w:before="140" w:after="100"/>
      </w:pPr>
      <w:r>
        <w:rPr>
          <w:rFonts w:ascii="Arial" w:eastAsia="Arial" w:hAnsi="Arial"/>
        </w:rPr>
        <w:t>3.1. {{PRELIMINAR_1}}</w:t>
      </w:r>
    </w:p>
    <w:p w:rsidR="00201D5E" w:rsidRDefault="00987390">
      <w:pPr>
        <w:ind w:firstLine="454"/>
      </w:pPr>
      <w:r>
        <w:rPr>
          <w:rFonts w:eastAsia="Arial"/>
        </w:rPr>
        <w:t>A parte ré alega {{RESUMO_DA_PRELIMINAR_1}}. A preliminar não deve ser acolhida porque {{FUNDAMENTACAO_CONTRA_PRELIMINAR_1}}.</w:t>
      </w:r>
    </w:p>
    <w:p w:rsidR="00201D5E" w:rsidRDefault="00987390">
      <w:pPr>
        <w:ind w:firstLine="454"/>
      </w:pPr>
      <w:r>
        <w:rPr>
          <w:rFonts w:eastAsia="Arial"/>
        </w:rPr>
        <w:t>Os elementos que susten</w:t>
      </w:r>
      <w:r>
        <w:rPr>
          <w:rFonts w:eastAsia="Arial"/>
        </w:rPr>
        <w:t>tam esta impugnação são {{PROVA_DA_PRELIMINAR_1}}. Por isso, requer-se a rejeição da preliminar, com o regular prosseguimento do feito.</w:t>
      </w:r>
    </w:p>
    <w:p w:rsidR="00201D5E" w:rsidRDefault="00987390">
      <w:pPr>
        <w:pStyle w:val="Ttulo1"/>
        <w:spacing w:before="200" w:after="100"/>
      </w:pPr>
      <w:r>
        <w:rPr>
          <w:rFonts w:ascii="Arial" w:eastAsia="Arial" w:hAnsi="Arial"/>
        </w:rPr>
        <w:t>4. DA IMPUGNAÇÃO AOS FUNDAMENTOS DE MÉRITO E AOS FATOS NOVOS</w:t>
      </w:r>
    </w:p>
    <w:p w:rsidR="00201D5E" w:rsidRDefault="00987390">
      <w:pPr>
        <w:pStyle w:val="Ttulo2"/>
        <w:spacing w:before="140" w:after="100"/>
      </w:pPr>
      <w:r>
        <w:rPr>
          <w:rFonts w:ascii="Arial" w:eastAsia="Arial" w:hAnsi="Arial"/>
        </w:rPr>
        <w:t>4.1. {{TESE_DEFENSIVA_1}}</w:t>
      </w:r>
    </w:p>
    <w:p w:rsidR="00201D5E" w:rsidRDefault="00987390">
      <w:pPr>
        <w:ind w:firstLine="454"/>
      </w:pPr>
      <w:r>
        <w:rPr>
          <w:rFonts w:eastAsia="Arial"/>
        </w:rPr>
        <w:t>Quanto à alegação de que {{RESUMO</w:t>
      </w:r>
      <w:r>
        <w:rPr>
          <w:rFonts w:eastAsia="Arial"/>
        </w:rPr>
        <w:t>_DA_TESE_1}}, a narrativa defensiva não afasta a pretensão autoral. {{REFUTACAO_FATICA_1}}.</w:t>
      </w:r>
    </w:p>
    <w:p w:rsidR="00201D5E" w:rsidRDefault="00987390">
      <w:pPr>
        <w:ind w:firstLine="454"/>
      </w:pPr>
      <w:r>
        <w:rPr>
          <w:rFonts w:eastAsia="Arial"/>
        </w:rPr>
        <w:t>Sob o aspecto jurídico, {{FUNDAMENTACAO_JURIDICA_1}}. Os documentos e demais elementos relevantes para este ponto são {{PROVAS_TESE_1}}.</w:t>
      </w:r>
    </w:p>
    <w:p w:rsidR="00201D5E" w:rsidRDefault="00987390">
      <w:pPr>
        <w:pStyle w:val="Ttulo2"/>
        <w:spacing w:before="140" w:after="100"/>
      </w:pPr>
      <w:r>
        <w:rPr>
          <w:rFonts w:ascii="Arial" w:eastAsia="Arial" w:hAnsi="Arial"/>
        </w:rPr>
        <w:lastRenderedPageBreak/>
        <w:t>4.2. {{TESE_DEFENSIVA_2}}</w:t>
      </w:r>
    </w:p>
    <w:p w:rsidR="00201D5E" w:rsidRDefault="00987390">
      <w:pPr>
        <w:ind w:firstLine="454"/>
      </w:pPr>
      <w:r>
        <w:rPr>
          <w:rFonts w:eastAsia="Arial"/>
        </w:rPr>
        <w:t>A</w:t>
      </w:r>
      <w:r>
        <w:rPr>
          <w:rFonts w:eastAsia="Arial"/>
        </w:rPr>
        <w:t xml:space="preserve"> parte ré também sustenta {{RESUMO_DA_TESE_2}}. Contudo, {{REFUTACAO_FATICA_2}}.</w:t>
      </w:r>
    </w:p>
    <w:p w:rsidR="00201D5E" w:rsidRDefault="00987390">
      <w:pPr>
        <w:ind w:firstLine="454"/>
      </w:pPr>
      <w:r>
        <w:rPr>
          <w:rFonts w:eastAsia="Arial"/>
        </w:rPr>
        <w:t>A conclusão jurídica aplicável é {{FUNDAMENTACAO_JURIDICA_2}}, conforme demonstram {{PROVAS_TESE_2}}.</w:t>
      </w:r>
    </w:p>
    <w:p w:rsidR="00201D5E" w:rsidRDefault="00987390">
      <w:pPr>
        <w:ind w:firstLine="454"/>
      </w:pPr>
      <w:r>
        <w:rPr>
          <w:rFonts w:eastAsia="Arial"/>
        </w:rPr>
        <w:t>Naquilo em que a contestação se apoiar em fato impeditivo, modificativo o</w:t>
      </w:r>
      <w:r>
        <w:rPr>
          <w:rFonts w:eastAsia="Arial"/>
        </w:rPr>
        <w:t>u extintivo do direito da parte autora, deve ser observada a distribuição do ônus da prova prevista no art. 373 do CPC, sem prejuízo de eventual regra legal específica ou de distribuição diversa determinada de forma fundamentada no caso concreto.</w:t>
      </w:r>
    </w:p>
    <w:p w:rsidR="00201D5E" w:rsidRDefault="00987390">
      <w:pPr>
        <w:pStyle w:val="Ttulo1"/>
        <w:spacing w:before="200" w:after="100"/>
      </w:pPr>
      <w:r>
        <w:rPr>
          <w:rFonts w:ascii="Arial" w:eastAsia="Arial" w:hAnsi="Arial"/>
        </w:rPr>
        <w:t xml:space="preserve">5. DA </w:t>
      </w:r>
      <w:r>
        <w:rPr>
          <w:rFonts w:ascii="Arial" w:eastAsia="Arial" w:hAnsi="Arial"/>
        </w:rPr>
        <w:t>MANIFESTAÇÃO SOBRE OS DOCUMENTOS JUNTADOS COM A CONTESTAÇÃO</w:t>
      </w:r>
    </w:p>
    <w:p w:rsidR="00201D5E" w:rsidRDefault="00987390">
      <w:pPr>
        <w:ind w:firstLine="454"/>
      </w:pPr>
      <w:r>
        <w:rPr>
          <w:rFonts w:eastAsia="Arial"/>
        </w:rPr>
        <w:t>Nos termos dos arts. 436 e 437 do CPC, a parte autora manifesta-se especificamente sobre os documentos apresentados com a contestação.</w:t>
      </w:r>
    </w:p>
    <w:p w:rsidR="00201D5E" w:rsidRDefault="00987390">
      <w:pPr>
        <w:pStyle w:val="Ttulo2"/>
        <w:spacing w:before="140" w:after="100"/>
      </w:pPr>
      <w:r>
        <w:rPr>
          <w:rFonts w:ascii="Arial" w:eastAsia="Arial" w:hAnsi="Arial"/>
        </w:rPr>
        <w:t>5.1. Documento de ID {{ID_DOCUMENTO_REU_1}} — {{DESCRICAO_DOC</w:t>
      </w:r>
      <w:r>
        <w:rPr>
          <w:rFonts w:ascii="Arial" w:eastAsia="Arial" w:hAnsi="Arial"/>
        </w:rPr>
        <w:t>UMENTO_REU_1}}</w:t>
      </w:r>
    </w:p>
    <w:p w:rsidR="00201D5E" w:rsidRDefault="00987390">
      <w:pPr>
        <w:ind w:firstLine="454"/>
      </w:pPr>
      <w:r>
        <w:rPr>
          <w:rFonts w:eastAsia="Arial"/>
        </w:rPr>
        <w:t>Quanto ao referido documento, a parte autora registra que {{MANIFESTACAO_DOCUMENTO_REU_1}}.</w:t>
      </w:r>
    </w:p>
    <w:p w:rsidR="00201D5E" w:rsidRDefault="00987390">
      <w:pPr>
        <w:ind w:firstLine="454"/>
      </w:pPr>
      <w:r>
        <w:rPr>
          <w:rFonts w:eastAsia="Arial"/>
        </w:rPr>
        <w:t>Diante disso, requer {{CONSEQUENCIA_REQUERIDA_DOC_1}}.</w:t>
      </w:r>
    </w:p>
    <w:p w:rsidR="00201D5E" w:rsidRDefault="00987390">
      <w:pPr>
        <w:pStyle w:val="Ttulo1"/>
        <w:spacing w:before="200" w:after="100"/>
      </w:pPr>
      <w:r>
        <w:rPr>
          <w:rFonts w:ascii="Arial" w:eastAsia="Arial" w:hAnsi="Arial"/>
        </w:rPr>
        <w:t>6. DOS DOCUMENTOS NOVOS APRESENTADOS PELA PARTE AUTORA</w:t>
      </w:r>
    </w:p>
    <w:p w:rsidR="00201D5E" w:rsidRDefault="00987390">
      <w:pPr>
        <w:ind w:firstLine="454"/>
      </w:pPr>
      <w:r>
        <w:rPr>
          <w:rFonts w:eastAsia="Arial"/>
        </w:rPr>
        <w:t>A parte autora apresenta, nesta oportun</w:t>
      </w:r>
      <w:r>
        <w:rPr>
          <w:rFonts w:eastAsia="Arial"/>
        </w:rPr>
        <w:t>idade, {{DOCUMENTOS_NOVOS_AUTOR}}, destinados a {{JUSTIFICATIVA_DOCUMENTOS_NOVOS}}. A juntada deve ser apreciada conforme as hipóteses previstas no art. 435 do CPC.</w:t>
      </w:r>
    </w:p>
    <w:p w:rsidR="00201D5E" w:rsidRDefault="00987390">
      <w:pPr>
        <w:pStyle w:val="Ttulo1"/>
        <w:spacing w:before="200" w:after="100"/>
      </w:pPr>
      <w:r>
        <w:rPr>
          <w:rFonts w:ascii="Arial" w:eastAsia="Arial" w:hAnsi="Arial"/>
        </w:rPr>
        <w:t>7. DAS PROVAS E DO SANEAMENTO</w:t>
      </w:r>
    </w:p>
    <w:p w:rsidR="00201D5E" w:rsidRDefault="00987390">
      <w:pPr>
        <w:ind w:firstLine="454"/>
      </w:pPr>
      <w:r>
        <w:rPr>
          <w:rFonts w:eastAsia="Arial"/>
        </w:rPr>
        <w:t xml:space="preserve">A parte autora reitera as provas já requeridas e, diante dos </w:t>
      </w:r>
      <w:r>
        <w:rPr>
          <w:rFonts w:eastAsia="Arial"/>
        </w:rPr>
        <w:t>pontos controvertidos revelados pela contestação, requer a produção de {{PROVAS_REQUERIDAS}}, para demonstrar especificamente {{FATOS_A_PROVAR}}.</w:t>
      </w:r>
    </w:p>
    <w:p w:rsidR="00201D5E" w:rsidRDefault="00987390">
      <w:pPr>
        <w:ind w:firstLine="454"/>
      </w:pPr>
      <w:r>
        <w:rPr>
          <w:rFonts w:eastAsia="Arial"/>
        </w:rPr>
        <w:t>Caso Vossa Excelência entenda necessária a delimitação dos pontos controvertidos ou da distribuição do ônus da</w:t>
      </w:r>
      <w:r>
        <w:rPr>
          <w:rFonts w:eastAsia="Arial"/>
        </w:rPr>
        <w:t xml:space="preserve"> prova, requer-se que tais questões sejam enfrentadas na fase de saneamento, com observância do contraditório.</w:t>
      </w:r>
    </w:p>
    <w:p w:rsidR="00201D5E" w:rsidRDefault="00987390">
      <w:pPr>
        <w:pStyle w:val="Ttulo1"/>
        <w:spacing w:before="200" w:after="100"/>
      </w:pPr>
      <w:r>
        <w:rPr>
          <w:rFonts w:ascii="Arial" w:eastAsia="Arial" w:hAnsi="Arial"/>
        </w:rPr>
        <w:t>8. DOS REQUERIMENTOS</w:t>
      </w:r>
    </w:p>
    <w:p w:rsidR="00201D5E" w:rsidRDefault="00987390">
      <w:pPr>
        <w:pStyle w:val="Numerada"/>
        <w:spacing w:after="80" w:line="264" w:lineRule="auto"/>
      </w:pPr>
      <w:r>
        <w:rPr>
          <w:rFonts w:eastAsia="Arial"/>
          <w:sz w:val="21"/>
        </w:rPr>
        <w:t>o recebimento da presente réplica e dos documentos que a acompanham, se houver;</w:t>
      </w:r>
    </w:p>
    <w:p w:rsidR="00201D5E" w:rsidRDefault="00987390">
      <w:pPr>
        <w:pStyle w:val="Numerada"/>
        <w:spacing w:after="80" w:line="264" w:lineRule="auto"/>
      </w:pPr>
      <w:r>
        <w:rPr>
          <w:rFonts w:eastAsia="Arial"/>
          <w:sz w:val="21"/>
        </w:rPr>
        <w:t>a rejeição da(s) questão(ões) processual(is)</w:t>
      </w:r>
      <w:r>
        <w:rPr>
          <w:rFonts w:eastAsia="Arial"/>
          <w:sz w:val="21"/>
        </w:rPr>
        <w:t xml:space="preserve"> impugnada(s) no item 3, conforme a fundamentação apresentada;</w:t>
      </w:r>
    </w:p>
    <w:p w:rsidR="00201D5E" w:rsidRDefault="00987390">
      <w:pPr>
        <w:pStyle w:val="Numerada"/>
        <w:spacing w:after="80" w:line="264" w:lineRule="auto"/>
      </w:pPr>
      <w:r>
        <w:rPr>
          <w:rFonts w:eastAsia="Arial"/>
          <w:sz w:val="21"/>
        </w:rPr>
        <w:t>o afastamento das alegações defensivas impugnadas no item 4;</w:t>
      </w:r>
    </w:p>
    <w:p w:rsidR="00201D5E" w:rsidRDefault="00987390">
      <w:pPr>
        <w:pStyle w:val="Numerada"/>
        <w:spacing w:after="80" w:line="264" w:lineRule="auto"/>
      </w:pPr>
      <w:r>
        <w:rPr>
          <w:rFonts w:eastAsia="Arial"/>
          <w:sz w:val="21"/>
        </w:rPr>
        <w:t>a apreciação individualizada da manifestação sobre os documentos da contestação, nos termos do item 5;</w:t>
      </w:r>
    </w:p>
    <w:p w:rsidR="00201D5E" w:rsidRDefault="00987390">
      <w:pPr>
        <w:pStyle w:val="Numerada"/>
        <w:spacing w:after="80" w:line="264" w:lineRule="auto"/>
      </w:pPr>
      <w:r>
        <w:rPr>
          <w:rFonts w:eastAsia="Arial"/>
          <w:sz w:val="21"/>
        </w:rPr>
        <w:t>o deferimento da produção das</w:t>
      </w:r>
      <w:r>
        <w:rPr>
          <w:rFonts w:eastAsia="Arial"/>
          <w:sz w:val="21"/>
        </w:rPr>
        <w:t xml:space="preserve"> provas pertinentes e necessárias indicadas no item 7;</w:t>
      </w:r>
    </w:p>
    <w:p w:rsidR="00201D5E" w:rsidRDefault="00987390">
      <w:pPr>
        <w:pStyle w:val="Numerada"/>
        <w:spacing w:after="80" w:line="264" w:lineRule="auto"/>
      </w:pPr>
      <w:r>
        <w:rPr>
          <w:rFonts w:eastAsia="Arial"/>
          <w:sz w:val="21"/>
        </w:rPr>
        <w:lastRenderedPageBreak/>
        <w:t>ao final, o acolhimento de {{PEDIDOS_DA_INICIAL}}, nos limites e fundamentos da petição inicial e desta manifestação.</w:t>
      </w:r>
    </w:p>
    <w:p w:rsidR="00201D5E" w:rsidRDefault="00987390">
      <w:r>
        <w:rPr>
          <w:rFonts w:eastAsia="Arial"/>
        </w:rPr>
        <w:t>Termos em que,</w:t>
      </w:r>
      <w:r>
        <w:rPr>
          <w:rFonts w:eastAsia="Arial"/>
        </w:rPr>
        <w:br/>
        <w:t>pede deferimento.</w:t>
      </w:r>
    </w:p>
    <w:p w:rsidR="00201D5E" w:rsidRDefault="00987390">
      <w:pPr>
        <w:spacing w:before="200"/>
      </w:pPr>
      <w:r>
        <w:rPr>
          <w:rFonts w:eastAsia="Arial"/>
        </w:rPr>
        <w:t>{{LOCAL}}, {{DATA_ASSINATURA}}.</w:t>
      </w:r>
    </w:p>
    <w:p w:rsidR="00201D5E" w:rsidRDefault="00987390">
      <w:pPr>
        <w:spacing w:before="360"/>
      </w:pPr>
      <w:r>
        <w:rPr>
          <w:rFonts w:eastAsia="Arial"/>
          <w:b/>
        </w:rPr>
        <w:t>{{NOME_ADVOGADO}}</w:t>
      </w:r>
    </w:p>
    <w:p w:rsidR="00201D5E" w:rsidRDefault="00987390">
      <w:pPr>
        <w:spacing w:after="0"/>
      </w:pPr>
      <w:r>
        <w:rPr>
          <w:rFonts w:eastAsia="Arial"/>
        </w:rPr>
        <w:t>OAB/{{OAB_UF}} nº {{OAB_NUMERO}}</w:t>
      </w:r>
    </w:p>
    <w:sectPr w:rsidR="00201D5E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01D5E"/>
    <w:rsid w:val="0029639D"/>
    <w:rsid w:val="00326F90"/>
    <w:rsid w:val="009873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6A4A4ED8-655C-41E9-952E-BEAAFA929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20"/>
    </w:pPr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6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3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taeditorial">
    <w:name w:val="Nota editorial"/>
    <w:pPr>
      <w:spacing w:after="100"/>
    </w:pPr>
    <w:rPr>
      <w:rFonts w:ascii="Arial" w:hAnsi="Arial"/>
      <w:i/>
      <w:color w:val="505050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94C8FBF-08A7-4EFB-B2D5-7509D598B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1287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8223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Réplica à Contestação</dc:title>
  <dc:subject>Modelo geral de peça processual cível brasileira</dc:subject>
  <dc:creator/>
  <cp:keywords>réplica, contestação, processo civil, CPC, modelo</cp:keywords>
  <dc:description>Modelo público geral; exige adaptação e revisão profissional.</dc:description>
  <cp:lastModifiedBy>José Jeferson</cp:lastModifiedBy>
  <cp:revision>2</cp:revision>
  <dcterms:created xsi:type="dcterms:W3CDTF">2013-12-23T23:15:00Z</dcterms:created>
  <dcterms:modified xsi:type="dcterms:W3CDTF">2026-08-11T23:12:00Z</dcterms:modified>
  <cp:category/>
</cp:coreProperties>
</file>